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Manrope" w:hAnsi="Manrope" w:eastAsia="Manrope"/>
          <w:b/>
          <w:i w:val="0"/>
          <w:color w:val="6E6E6E"/>
          <w:sz w:val="18"/>
        </w:rPr>
        <w:t>MODELO DE PAUTA DE REUNIÃO</w:t>
      </w:r>
    </w:p>
    <w:p>
      <w:pPr>
        <w:spacing w:before="0" w:after="80"/>
      </w:pPr>
      <w:r>
        <w:rPr>
          <w:rFonts w:ascii="Manrope" w:hAnsi="Manrope" w:eastAsia="Manrope"/>
          <w:b/>
          <w:i w:val="0"/>
          <w:color w:val="161616"/>
          <w:sz w:val="36"/>
        </w:rPr>
        <w:t>Pauta da reunião</w:t>
      </w:r>
    </w:p>
    <w:p>
      <w:pPr>
        <w:spacing w:before="0" w:after="200"/>
      </w:pPr>
      <w:r>
        <w:rPr>
          <w:rFonts w:ascii="Manrope" w:hAnsi="Manrope" w:eastAsia="Manrope"/>
          <w:b w:val="0"/>
          <w:i w:val="0"/>
          <w:color w:val="6E6E6E"/>
          <w:sz w:val="20"/>
        </w:rPr>
        <w:t>Preencha os dados, escreva o objetivo em uma frase e liste os itens na ordem em que serão tratados, cada um com o seu tipo (informar, discutir ou decidir), o responsável e os minutos. Envie aos participantes de 24 a 48 horas antes, com os documentos anexados.</w:t>
      </w:r>
    </w:p>
    <w:p>
      <w:pPr>
        <w:spacing w:before="80" w:after="120"/>
      </w:pPr>
      <w:r>
        <w:rPr>
          <w:rFonts w:ascii="Manrope" w:hAnsi="Manrope" w:eastAsia="Manrope"/>
          <w:b/>
          <w:i w:val="0"/>
          <w:color w:val="161616"/>
          <w:sz w:val="24"/>
        </w:rPr>
        <w:t>Dados da reunião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551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Reunião</w:t>
            </w:r>
          </w:p>
        </w:tc>
        <w:tc>
          <w:tcPr>
            <w:tcW w:type="dxa" w:w="7087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</w:r>
          </w:p>
        </w:tc>
      </w:tr>
      <w:tr>
        <w:tc>
          <w:tcPr>
            <w:tcW w:type="dxa" w:w="2551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Data e horário</w:t>
            </w:r>
          </w:p>
        </w:tc>
        <w:tc>
          <w:tcPr>
            <w:tcW w:type="dxa" w:w="7087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das ____ às ____</w:t>
            </w:r>
          </w:p>
        </w:tc>
      </w:tr>
      <w:tr>
        <w:tc>
          <w:tcPr>
            <w:tcW w:type="dxa" w:w="2551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Local ou link</w:t>
            </w:r>
          </w:p>
        </w:tc>
        <w:tc>
          <w:tcPr>
            <w:tcW w:type="dxa" w:w="7087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</w:r>
          </w:p>
        </w:tc>
      </w:tr>
      <w:tr>
        <w:tc>
          <w:tcPr>
            <w:tcW w:type="dxa" w:w="2551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Quem convoca</w:t>
            </w:r>
          </w:p>
        </w:tc>
        <w:tc>
          <w:tcPr>
            <w:tcW w:type="dxa" w:w="7087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</w:r>
          </w:p>
        </w:tc>
      </w:tr>
      <w:tr>
        <w:tc>
          <w:tcPr>
            <w:tcW w:type="dxa" w:w="2551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Quem conduz</w:t>
            </w:r>
          </w:p>
        </w:tc>
        <w:tc>
          <w:tcPr>
            <w:tcW w:type="dxa" w:w="7087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</w:r>
          </w:p>
        </w:tc>
      </w:tr>
      <w:tr>
        <w:tc>
          <w:tcPr>
            <w:tcW w:type="dxa" w:w="2551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Quem faz a ata</w:t>
            </w:r>
          </w:p>
        </w:tc>
        <w:tc>
          <w:tcPr>
            <w:tcW w:type="dxa" w:w="7087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</w:r>
          </w:p>
        </w:tc>
      </w:tr>
      <w:tr>
        <w:tc>
          <w:tcPr>
            <w:tcW w:type="dxa" w:w="2551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Participantes</w:t>
            </w:r>
          </w:p>
        </w:tc>
        <w:tc>
          <w:tcPr>
            <w:tcW w:type="dxa" w:w="7087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</w:r>
          </w:p>
        </w:tc>
      </w:tr>
    </w:tbl>
    <w:p>
      <w:pPr>
        <w:spacing w:after="40"/>
      </w:pPr>
    </w:p>
    <w:p>
      <w:pPr>
        <w:spacing w:before="280" w:after="120"/>
      </w:pPr>
      <w:r>
        <w:rPr>
          <w:rFonts w:ascii="Manrope" w:hAnsi="Manrope" w:eastAsia="Manrope"/>
          <w:b/>
          <w:i w:val="0"/>
          <w:color w:val="161616"/>
          <w:sz w:val="24"/>
        </w:rPr>
        <w:t>Objetivo da reunião</w:t>
      </w:r>
    </w:p>
    <w:p>
      <w:pPr>
        <w:spacing w:before="0" w:after="40"/>
      </w:pPr>
      <w:r>
        <w:rPr>
          <w:rFonts w:ascii="Manrope" w:hAnsi="Manrope" w:eastAsia="Manrope"/>
          <w:b w:val="0"/>
          <w:i w:val="0"/>
          <w:color w:val="6E6E6E"/>
          <w:sz w:val="20"/>
        </w:rPr>
        <w:t>Ao final da reunião, precisa estar resolvido:</w:t>
      </w:r>
    </w:p>
    <w:p>
      <w:pPr>
        <w:spacing w:before="0" w:after="0" w:line="440" w:lineRule="exact"/>
        <w:pBdr>
          <w:bottom w:val="single" w:sz="4" w:space="1" w:color="BDBDBD"/>
          <w:between w:val="single" w:sz="4" w:space="1" w:color="BDBDBD"/>
        </w:pBdr>
      </w:pPr>
    </w:p>
    <w:p>
      <w:pPr>
        <w:spacing w:before="0" w:after="0" w:line="440" w:lineRule="exact"/>
        <w:pBdr>
          <w:bottom w:val="single" w:sz="4" w:space="1" w:color="BDBDBD"/>
          <w:between w:val="single" w:sz="4" w:space="1" w:color="BDBDBD"/>
        </w:pBdr>
      </w:pPr>
    </w:p>
    <w:p>
      <w:pPr>
        <w:spacing w:before="280" w:after="120"/>
      </w:pPr>
      <w:r>
        <w:rPr>
          <w:rFonts w:ascii="Manrope" w:hAnsi="Manrope" w:eastAsia="Manrope"/>
          <w:b/>
          <w:i w:val="0"/>
          <w:color w:val="161616"/>
          <w:sz w:val="24"/>
        </w:rPr>
        <w:t>Itens da pauta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680"/>
            <w:shd w:val="clear" w:color="auto" w:fill="161616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/>
                <w:i w:val="0"/>
                <w:color w:val="FFFFFF"/>
                <w:sz w:val="19"/>
              </w:rPr>
              <w:t>Nº</w:t>
            </w:r>
          </w:p>
        </w:tc>
        <w:tc>
          <w:tcPr>
            <w:tcW w:type="dxa" w:w="4706"/>
            <w:shd w:val="clear" w:color="auto" w:fill="161616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/>
                <w:i w:val="0"/>
                <w:color w:val="FFFFFF"/>
                <w:sz w:val="19"/>
              </w:rPr>
              <w:t>Item (comece por um verbo)</w:t>
            </w:r>
          </w:p>
        </w:tc>
        <w:tc>
          <w:tcPr>
            <w:tcW w:type="dxa" w:w="1361"/>
            <w:shd w:val="clear" w:color="auto" w:fill="161616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/>
                <w:i w:val="0"/>
                <w:color w:val="FFFFFF"/>
                <w:sz w:val="19"/>
              </w:rPr>
              <w:t>Tipo</w:t>
            </w:r>
          </w:p>
        </w:tc>
        <w:tc>
          <w:tcPr>
            <w:tcW w:type="dxa" w:w="2041"/>
            <w:shd w:val="clear" w:color="auto" w:fill="161616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/>
                <w:i w:val="0"/>
                <w:color w:val="FFFFFF"/>
                <w:sz w:val="19"/>
              </w:rPr>
              <w:t>Responsável</w:t>
            </w:r>
          </w:p>
        </w:tc>
        <w:tc>
          <w:tcPr>
            <w:tcW w:type="dxa" w:w="850"/>
            <w:shd w:val="clear" w:color="auto" w:fill="161616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/>
                <w:i w:val="0"/>
                <w:color w:val="FFFFFF"/>
                <w:sz w:val="19"/>
              </w:rPr>
              <w:t>Min.</w:t>
            </w:r>
          </w:p>
        </w:tc>
      </w:tr>
      <w:tr>
        <w:tc>
          <w:tcPr>
            <w:tcW w:type="dxa" w:w="680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1</w:t>
            </w:r>
          </w:p>
        </w:tc>
        <w:tc>
          <w:tcPr>
            <w:tcW w:type="dxa" w:w="4706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</w:r>
          </w:p>
        </w:tc>
        <w:tc>
          <w:tcPr>
            <w:tcW w:type="dxa" w:w="1361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</w:r>
          </w:p>
        </w:tc>
        <w:tc>
          <w:tcPr>
            <w:tcW w:type="dxa" w:w="850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</w:r>
          </w:p>
        </w:tc>
      </w:tr>
      <w:tr>
        <w:tc>
          <w:tcPr>
            <w:tcW w:type="dxa" w:w="680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2</w:t>
            </w:r>
          </w:p>
        </w:tc>
        <w:tc>
          <w:tcPr>
            <w:tcW w:type="dxa" w:w="4706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</w:r>
          </w:p>
        </w:tc>
        <w:tc>
          <w:tcPr>
            <w:tcW w:type="dxa" w:w="1361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</w:r>
          </w:p>
        </w:tc>
        <w:tc>
          <w:tcPr>
            <w:tcW w:type="dxa" w:w="850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</w:r>
          </w:p>
        </w:tc>
      </w:tr>
      <w:tr>
        <w:tc>
          <w:tcPr>
            <w:tcW w:type="dxa" w:w="680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3</w:t>
            </w:r>
          </w:p>
        </w:tc>
        <w:tc>
          <w:tcPr>
            <w:tcW w:type="dxa" w:w="4706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</w:r>
          </w:p>
        </w:tc>
        <w:tc>
          <w:tcPr>
            <w:tcW w:type="dxa" w:w="1361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</w:r>
          </w:p>
        </w:tc>
        <w:tc>
          <w:tcPr>
            <w:tcW w:type="dxa" w:w="850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</w:r>
          </w:p>
        </w:tc>
      </w:tr>
      <w:tr>
        <w:tc>
          <w:tcPr>
            <w:tcW w:type="dxa" w:w="680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4</w:t>
            </w:r>
          </w:p>
        </w:tc>
        <w:tc>
          <w:tcPr>
            <w:tcW w:type="dxa" w:w="4706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</w:r>
          </w:p>
        </w:tc>
        <w:tc>
          <w:tcPr>
            <w:tcW w:type="dxa" w:w="1361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</w:r>
          </w:p>
        </w:tc>
        <w:tc>
          <w:tcPr>
            <w:tcW w:type="dxa" w:w="850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</w:r>
          </w:p>
        </w:tc>
      </w:tr>
      <w:tr>
        <w:tc>
          <w:tcPr>
            <w:tcW w:type="dxa" w:w="680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5</w:t>
            </w:r>
          </w:p>
        </w:tc>
        <w:tc>
          <w:tcPr>
            <w:tcW w:type="dxa" w:w="4706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</w:r>
          </w:p>
        </w:tc>
        <w:tc>
          <w:tcPr>
            <w:tcW w:type="dxa" w:w="1361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</w:r>
          </w:p>
        </w:tc>
        <w:tc>
          <w:tcPr>
            <w:tcW w:type="dxa" w:w="850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</w:r>
          </w:p>
        </w:tc>
      </w:tr>
      <w:tr>
        <w:tc>
          <w:tcPr>
            <w:tcW w:type="dxa" w:w="680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6</w:t>
            </w:r>
          </w:p>
        </w:tc>
        <w:tc>
          <w:tcPr>
            <w:tcW w:type="dxa" w:w="4706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Assuntos gerais e revisão das decisões</w:t>
            </w:r>
          </w:p>
        </w:tc>
        <w:tc>
          <w:tcPr>
            <w:tcW w:type="dxa" w:w="1361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Encerrar</w:t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Quem conduz</w:t>
            </w:r>
          </w:p>
        </w:tc>
        <w:tc>
          <w:tcPr>
            <w:tcW w:type="dxa" w:w="850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5</w:t>
            </w:r>
          </w:p>
        </w:tc>
      </w:tr>
    </w:tbl>
    <w:p>
      <w:pPr>
        <w:spacing w:after="40"/>
      </w:pPr>
    </w:p>
    <w:p>
      <w:pPr>
        <w:spacing w:before="0" w:after="80"/>
      </w:pPr>
      <w:r>
        <w:rPr>
          <w:rFonts w:ascii="Manrope" w:hAnsi="Manrope" w:eastAsia="Manrope"/>
          <w:b w:val="0"/>
          <w:i w:val="0"/>
          <w:color w:val="6E6E6E"/>
          <w:sz w:val="18"/>
        </w:rPr>
        <w:t>Tipo: informar, discutir ou decidir. Coloque primeiro os itens de decisão.</w:t>
      </w:r>
    </w:p>
    <w:p>
      <w:pPr>
        <w:spacing w:before="80" w:after="80"/>
      </w:pPr>
      <w:r>
        <w:rPr>
          <w:rFonts w:ascii="Manrope" w:hAnsi="Manrope" w:eastAsia="Manrope"/>
          <w:b/>
          <w:i w:val="0"/>
          <w:color w:val="161616"/>
          <w:sz w:val="20"/>
        </w:rPr>
        <w:t>Duração prevista (soma dos minutos mais 5 a 10 de folga): ______ minutos</w:t>
      </w:r>
    </w:p>
    <w:p>
      <w:pPr>
        <w:spacing w:before="240" w:after="120"/>
      </w:pPr>
      <w:r>
        <w:rPr>
          <w:rFonts w:ascii="Manrope" w:hAnsi="Manrope" w:eastAsia="Manrope"/>
          <w:b/>
          <w:i w:val="0"/>
          <w:color w:val="161616"/>
          <w:sz w:val="24"/>
        </w:rPr>
        <w:t>Documentação prévia</w:t>
      </w:r>
    </w:p>
    <w:p>
      <w:pPr>
        <w:spacing w:before="0" w:after="40"/>
      </w:pPr>
      <w:r>
        <w:rPr>
          <w:rFonts w:ascii="Manrope" w:hAnsi="Manrope" w:eastAsia="Manrope"/>
          <w:b w:val="0"/>
          <w:i w:val="0"/>
          <w:color w:val="6E6E6E"/>
          <w:sz w:val="20"/>
        </w:rPr>
        <w:t>O que precisa ser lido antes da reunião e onde está:</w:t>
      </w:r>
    </w:p>
    <w:p>
      <w:pPr>
        <w:spacing w:before="0" w:after="0" w:line="440" w:lineRule="exact"/>
        <w:pBdr>
          <w:bottom w:val="single" w:sz="4" w:space="1" w:color="BDBDBD"/>
          <w:between w:val="single" w:sz="4" w:space="1" w:color="BDBDBD"/>
        </w:pBdr>
      </w:pPr>
    </w:p>
    <w:p>
      <w:pPr>
        <w:spacing w:before="0" w:after="0" w:line="440" w:lineRule="exact"/>
        <w:pBdr>
          <w:bottom w:val="single" w:sz="4" w:space="1" w:color="BDBDBD"/>
          <w:between w:val="single" w:sz="4" w:space="1" w:color="BDBDBD"/>
        </w:pBdr>
      </w:pPr>
    </w:p>
    <w:p>
      <w:r>
        <w:br w:type="page"/>
      </w:r>
    </w:p>
    <w:p>
      <w:pPr>
        <w:spacing w:before="0" w:after="120"/>
      </w:pPr>
      <w:r>
        <w:rPr>
          <w:rFonts w:ascii="Manrope" w:hAnsi="Manrope" w:eastAsia="Manrope"/>
          <w:b/>
          <w:i w:val="0"/>
          <w:color w:val="161616"/>
          <w:sz w:val="28"/>
        </w:rPr>
        <w:t>Exemplos de pauta por tipo de reunião</w:t>
      </w:r>
    </w:p>
    <w:p>
      <w:pPr>
        <w:spacing w:before="0" w:after="80"/>
      </w:pPr>
      <w:r>
        <w:rPr>
          <w:rFonts w:ascii="Manrope" w:hAnsi="Manrope" w:eastAsia="Manrope"/>
          <w:b w:val="0"/>
          <w:i w:val="0"/>
          <w:color w:val="6E6E6E"/>
          <w:sz w:val="20"/>
        </w:rPr>
        <w:t>Copie o que mais se parecer com a sua reunião e adapte os itens.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819"/>
          </w:tcPr>
          <w:p>
            <w:pPr>
              <w:spacing w:before="160" w:after="60"/>
            </w:pPr>
            <w:r/>
            <w:r>
              <w:rPr>
                <w:rFonts w:ascii="Manrope" w:hAnsi="Manrope" w:eastAsia="Manrope"/>
                <w:b/>
                <w:i w:val="0"/>
                <w:color w:val="161616"/>
                <w:sz w:val="21"/>
              </w:rPr>
              <w:t>Reunião semanal de equipe (30 minutos)</w:t>
            </w:r>
          </w:p>
          <w:p>
            <w:pPr>
              <w:spacing w:after="30"/>
            </w:pPr>
            <w:r>
              <w:rPr>
                <w:rFonts w:ascii="Manrope" w:hAnsi="Manrope" w:eastAsia="Manrope"/>
                <w:b/>
                <w:i w:val="0"/>
                <w:color w:val="161616"/>
                <w:sz w:val="19"/>
              </w:rPr>
              <w:t xml:space="preserve">1. </w:t>
            </w:r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Tarefas da semana passada: o que foi concluído e o que não (5 min).</w:t>
            </w:r>
          </w:p>
          <w:p>
            <w:pPr>
              <w:spacing w:after="30"/>
            </w:pPr>
            <w:r>
              <w:rPr>
                <w:rFonts w:ascii="Manrope" w:hAnsi="Manrope" w:eastAsia="Manrope"/>
                <w:b/>
                <w:i w:val="0"/>
                <w:color w:val="161616"/>
                <w:sz w:val="19"/>
              </w:rPr>
              <w:t xml:space="preserve">2. </w:t>
            </w:r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Prioridades desta semana, por pessoa (10 min).</w:t>
            </w:r>
          </w:p>
          <w:p>
            <w:pPr>
              <w:spacing w:after="30"/>
            </w:pPr>
            <w:r>
              <w:rPr>
                <w:rFonts w:ascii="Manrope" w:hAnsi="Manrope" w:eastAsia="Manrope"/>
                <w:b/>
                <w:i w:val="0"/>
                <w:color w:val="161616"/>
                <w:sz w:val="19"/>
              </w:rPr>
              <w:t xml:space="preserve">3. </w:t>
            </w:r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Impedimentos e quem ajuda a resolvê-los (10 min).</w:t>
            </w:r>
          </w:p>
          <w:p>
            <w:pPr>
              <w:spacing w:after="30"/>
            </w:pPr>
            <w:r>
              <w:rPr>
                <w:rFonts w:ascii="Manrope" w:hAnsi="Manrope" w:eastAsia="Manrope"/>
                <w:b/>
                <w:i w:val="0"/>
                <w:color w:val="161616"/>
                <w:sz w:val="19"/>
              </w:rPr>
              <w:t xml:space="preserve">4. </w:t>
            </w:r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Avisos e assuntos gerais (5 min).</w:t>
            </w:r>
          </w:p>
        </w:tc>
        <w:tc>
          <w:tcPr>
            <w:tcW w:type="dxa" w:w="4819"/>
          </w:tcPr>
          <w:p>
            <w:pPr>
              <w:spacing w:before="160" w:after="60"/>
            </w:pPr>
            <w:r/>
            <w:r>
              <w:rPr>
                <w:rFonts w:ascii="Manrope" w:hAnsi="Manrope" w:eastAsia="Manrope"/>
                <w:b/>
                <w:i w:val="0"/>
                <w:color w:val="161616"/>
                <w:sz w:val="21"/>
              </w:rPr>
              <w:t>Reunião de diretoria (90 minutos)</w:t>
            </w:r>
          </w:p>
          <w:p>
            <w:pPr>
              <w:spacing w:after="30"/>
            </w:pPr>
            <w:r>
              <w:rPr>
                <w:rFonts w:ascii="Manrope" w:hAnsi="Manrope" w:eastAsia="Manrope"/>
                <w:b/>
                <w:i w:val="0"/>
                <w:color w:val="161616"/>
                <w:sz w:val="19"/>
              </w:rPr>
              <w:t xml:space="preserve">1. </w:t>
            </w:r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Aprovação da ata da reunião anterior.</w:t>
            </w:r>
          </w:p>
          <w:p>
            <w:pPr>
              <w:spacing w:after="30"/>
            </w:pPr>
            <w:r>
              <w:rPr>
                <w:rFonts w:ascii="Manrope" w:hAnsi="Manrope" w:eastAsia="Manrope"/>
                <w:b/>
                <w:i w:val="0"/>
                <w:color w:val="161616"/>
                <w:sz w:val="19"/>
              </w:rPr>
              <w:t xml:space="preserve">2. </w:t>
            </w:r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Indicadores do mês: vendas, caixa, equipe e clientes.</w:t>
            </w:r>
          </w:p>
          <w:p>
            <w:pPr>
              <w:spacing w:after="30"/>
            </w:pPr>
            <w:r>
              <w:rPr>
                <w:rFonts w:ascii="Manrope" w:hAnsi="Manrope" w:eastAsia="Manrope"/>
                <w:b/>
                <w:i w:val="0"/>
                <w:color w:val="161616"/>
                <w:sz w:val="19"/>
              </w:rPr>
              <w:t xml:space="preserve">3. </w:t>
            </w:r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Decisões pendentes, com a proposta enviada com antecedência.</w:t>
            </w:r>
          </w:p>
          <w:p>
            <w:pPr>
              <w:spacing w:after="30"/>
            </w:pPr>
            <w:r>
              <w:rPr>
                <w:rFonts w:ascii="Manrope" w:hAnsi="Manrope" w:eastAsia="Manrope"/>
                <w:b/>
                <w:i w:val="0"/>
                <w:color w:val="161616"/>
                <w:sz w:val="19"/>
              </w:rPr>
              <w:t xml:space="preserve">4. </w:t>
            </w:r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Riscos e status dos projetos estratégicos.</w:t>
            </w:r>
          </w:p>
          <w:p>
            <w:pPr>
              <w:spacing w:after="30"/>
            </w:pPr>
            <w:r>
              <w:rPr>
                <w:rFonts w:ascii="Manrope" w:hAnsi="Manrope" w:eastAsia="Manrope"/>
                <w:b/>
                <w:i w:val="0"/>
                <w:color w:val="161616"/>
                <w:sz w:val="19"/>
              </w:rPr>
              <w:t xml:space="preserve">5. </w:t>
            </w:r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Assuntos gerais.</w:t>
            </w:r>
          </w:p>
        </w:tc>
      </w:tr>
      <w:tr>
        <w:tc>
          <w:tcPr>
            <w:tcW w:type="dxa" w:w="4819"/>
          </w:tcPr>
          <w:p>
            <w:pPr>
              <w:spacing w:before="160" w:after="60"/>
            </w:pPr>
            <w:r/>
            <w:r>
              <w:rPr>
                <w:rFonts w:ascii="Manrope" w:hAnsi="Manrope" w:eastAsia="Manrope"/>
                <w:b/>
                <w:i w:val="0"/>
                <w:color w:val="161616"/>
                <w:sz w:val="21"/>
              </w:rPr>
              <w:t>Reunião com cliente (45 minutos)</w:t>
            </w:r>
          </w:p>
          <w:p>
            <w:pPr>
              <w:spacing w:after="30"/>
            </w:pPr>
            <w:r>
              <w:rPr>
                <w:rFonts w:ascii="Manrope" w:hAnsi="Manrope" w:eastAsia="Manrope"/>
                <w:b/>
                <w:i w:val="0"/>
                <w:color w:val="161616"/>
                <w:sz w:val="19"/>
              </w:rPr>
              <w:t xml:space="preserve">1. </w:t>
            </w:r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Objetivo da reunião e apresentação dos participantes.</w:t>
            </w:r>
          </w:p>
          <w:p>
            <w:pPr>
              <w:spacing w:after="30"/>
            </w:pPr>
            <w:r>
              <w:rPr>
                <w:rFonts w:ascii="Manrope" w:hAnsi="Manrope" w:eastAsia="Manrope"/>
                <w:b/>
                <w:i w:val="0"/>
                <w:color w:val="161616"/>
                <w:sz w:val="19"/>
              </w:rPr>
              <w:t xml:space="preserve">2. </w:t>
            </w:r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Status do projeto ou do serviço desde a última reunião.</w:t>
            </w:r>
          </w:p>
          <w:p>
            <w:pPr>
              <w:spacing w:after="30"/>
            </w:pPr>
            <w:r>
              <w:rPr>
                <w:rFonts w:ascii="Manrope" w:hAnsi="Manrope" w:eastAsia="Manrope"/>
                <w:b/>
                <w:i w:val="0"/>
                <w:color w:val="161616"/>
                <w:sz w:val="19"/>
              </w:rPr>
              <w:t xml:space="preserve">3. </w:t>
            </w:r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Temas propostos pelo cliente.</w:t>
            </w:r>
          </w:p>
          <w:p>
            <w:pPr>
              <w:spacing w:after="30"/>
            </w:pPr>
            <w:r>
              <w:rPr>
                <w:rFonts w:ascii="Manrope" w:hAnsi="Manrope" w:eastAsia="Manrope"/>
                <w:b/>
                <w:i w:val="0"/>
                <w:color w:val="161616"/>
                <w:sz w:val="19"/>
              </w:rPr>
              <w:t xml:space="preserve">4. </w:t>
            </w:r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Mudanças de escopo, de prazo ou de orçamento, se houver.</w:t>
            </w:r>
          </w:p>
          <w:p>
            <w:pPr>
              <w:spacing w:after="30"/>
            </w:pPr>
            <w:r>
              <w:rPr>
                <w:rFonts w:ascii="Manrope" w:hAnsi="Manrope" w:eastAsia="Manrope"/>
                <w:b/>
                <w:i w:val="0"/>
                <w:color w:val="161616"/>
                <w:sz w:val="19"/>
              </w:rPr>
              <w:t xml:space="preserve">5. </w:t>
            </w:r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Próximos passos e responsável por cada parte.</w:t>
            </w:r>
          </w:p>
        </w:tc>
        <w:tc>
          <w:tcPr>
            <w:tcW w:type="dxa" w:w="4819"/>
          </w:tcPr>
          <w:p>
            <w:pPr>
              <w:spacing w:before="160" w:after="60"/>
            </w:pPr>
            <w:r/>
            <w:r>
              <w:rPr>
                <w:rFonts w:ascii="Manrope" w:hAnsi="Manrope" w:eastAsia="Manrope"/>
                <w:b/>
                <w:i w:val="0"/>
                <w:color w:val="161616"/>
                <w:sz w:val="21"/>
              </w:rPr>
              <w:t>Reunião de kickoff de um projeto (60 minutos)</w:t>
            </w:r>
          </w:p>
          <w:p>
            <w:pPr>
              <w:spacing w:after="30"/>
            </w:pPr>
            <w:r>
              <w:rPr>
                <w:rFonts w:ascii="Manrope" w:hAnsi="Manrope" w:eastAsia="Manrope"/>
                <w:b/>
                <w:i w:val="0"/>
                <w:color w:val="161616"/>
                <w:sz w:val="19"/>
              </w:rPr>
              <w:t xml:space="preserve">1. </w:t>
            </w:r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Contexto e objetivo do projeto.</w:t>
            </w:r>
          </w:p>
          <w:p>
            <w:pPr>
              <w:spacing w:after="30"/>
            </w:pPr>
            <w:r>
              <w:rPr>
                <w:rFonts w:ascii="Manrope" w:hAnsi="Manrope" w:eastAsia="Manrope"/>
                <w:b/>
                <w:i w:val="0"/>
                <w:color w:val="161616"/>
                <w:sz w:val="19"/>
              </w:rPr>
              <w:t xml:space="preserve">2. </w:t>
            </w:r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Escopo: o que entra e o que fica de fora.</w:t>
            </w:r>
          </w:p>
          <w:p>
            <w:pPr>
              <w:spacing w:after="30"/>
            </w:pPr>
            <w:r>
              <w:rPr>
                <w:rFonts w:ascii="Manrope" w:hAnsi="Manrope" w:eastAsia="Manrope"/>
                <w:b/>
                <w:i w:val="0"/>
                <w:color w:val="161616"/>
                <w:sz w:val="19"/>
              </w:rPr>
              <w:t xml:space="preserve">3. </w:t>
            </w:r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Equipe, papéis e canais de comunicação.</w:t>
            </w:r>
          </w:p>
          <w:p>
            <w:pPr>
              <w:spacing w:after="30"/>
            </w:pPr>
            <w:r>
              <w:rPr>
                <w:rFonts w:ascii="Manrope" w:hAnsi="Manrope" w:eastAsia="Manrope"/>
                <w:b/>
                <w:i w:val="0"/>
                <w:color w:val="161616"/>
                <w:sz w:val="19"/>
              </w:rPr>
              <w:t xml:space="preserve">4. </w:t>
            </w:r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Cronograma e principais marcos.</w:t>
            </w:r>
          </w:p>
          <w:p>
            <w:pPr>
              <w:spacing w:after="30"/>
            </w:pPr>
            <w:r>
              <w:rPr>
                <w:rFonts w:ascii="Manrope" w:hAnsi="Manrope" w:eastAsia="Manrope"/>
                <w:b/>
                <w:i w:val="0"/>
                <w:color w:val="161616"/>
                <w:sz w:val="19"/>
              </w:rPr>
              <w:t xml:space="preserve">5. </w:t>
            </w:r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Riscos conhecidos e como serão monitorados.</w:t>
            </w:r>
          </w:p>
          <w:p>
            <w:pPr>
              <w:spacing w:after="30"/>
            </w:pPr>
            <w:r>
              <w:rPr>
                <w:rFonts w:ascii="Manrope" w:hAnsi="Manrope" w:eastAsia="Manrope"/>
                <w:b/>
                <w:i w:val="0"/>
                <w:color w:val="161616"/>
                <w:sz w:val="19"/>
              </w:rPr>
              <w:t xml:space="preserve">6. </w:t>
            </w:r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Próximos passos e data da reunião seguinte.</w:t>
            </w:r>
          </w:p>
        </w:tc>
      </w:tr>
      <w:tr>
        <w:tc>
          <w:tcPr>
            <w:tcW w:type="dxa" w:w="4819"/>
          </w:tcPr>
          <w:p>
            <w:pPr>
              <w:spacing w:before="160" w:after="60"/>
            </w:pPr>
            <w:r/>
            <w:r>
              <w:rPr>
                <w:rFonts w:ascii="Manrope" w:hAnsi="Manrope" w:eastAsia="Manrope"/>
                <w:b/>
                <w:i w:val="0"/>
                <w:color w:val="161616"/>
                <w:sz w:val="21"/>
              </w:rPr>
              <w:t>Assembleia de sócios, de acionistas ou de condomínio</w:t>
            </w:r>
          </w:p>
          <w:p>
            <w:pPr>
              <w:spacing w:after="30"/>
            </w:pPr>
            <w:r>
              <w:rPr>
                <w:rFonts w:ascii="Manrope" w:hAnsi="Manrope" w:eastAsia="Manrope"/>
                <w:b/>
                <w:i w:val="0"/>
                <w:color w:val="161616"/>
                <w:sz w:val="19"/>
              </w:rPr>
              <w:t xml:space="preserve">1. </w:t>
            </w:r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Prestação de contas do exercício e parecer do conselho fiscal, se houver.</w:t>
            </w:r>
          </w:p>
          <w:p>
            <w:pPr>
              <w:spacing w:after="30"/>
            </w:pPr>
            <w:r>
              <w:rPr>
                <w:rFonts w:ascii="Manrope" w:hAnsi="Manrope" w:eastAsia="Manrope"/>
                <w:b/>
                <w:i w:val="0"/>
                <w:color w:val="161616"/>
                <w:sz w:val="19"/>
              </w:rPr>
              <w:t xml:space="preserve">2. </w:t>
            </w:r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Aprovação do orçamento ou da destinação do resultado do exercício.</w:t>
            </w:r>
          </w:p>
          <w:p>
            <w:pPr>
              <w:spacing w:after="30"/>
            </w:pPr>
            <w:r>
              <w:rPr>
                <w:rFonts w:ascii="Manrope" w:hAnsi="Manrope" w:eastAsia="Manrope"/>
                <w:b/>
                <w:i w:val="0"/>
                <w:color w:val="161616"/>
                <w:sz w:val="19"/>
              </w:rPr>
              <w:t xml:space="preserve">3. </w:t>
            </w:r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Eleição de síndico, administradores ou conselheiros.</w:t>
            </w:r>
          </w:p>
          <w:p>
            <w:pPr>
              <w:spacing w:after="30"/>
            </w:pPr>
            <w:r>
              <w:rPr>
                <w:rFonts w:ascii="Manrope" w:hAnsi="Manrope" w:eastAsia="Manrope"/>
                <w:b/>
                <w:i w:val="0"/>
                <w:color w:val="161616"/>
                <w:sz w:val="19"/>
              </w:rPr>
              <w:t xml:space="preserve">4. </w:t>
            </w:r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Cada assunto concreto que será votado, em um item próprio e bem descrito.</w:t>
            </w:r>
          </w:p>
          <w:p>
            <w:pPr>
              <w:spacing w:after="30"/>
            </w:pPr>
            <w:r>
              <w:rPr>
                <w:rFonts w:ascii="Manrope" w:hAnsi="Manrope" w:eastAsia="Manrope"/>
                <w:b/>
                <w:i w:val="0"/>
                <w:color w:val="161616"/>
                <w:sz w:val="19"/>
              </w:rPr>
              <w:t xml:space="preserve">5. </w:t>
            </w:r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Assuntos gerais.</w:t>
            </w:r>
          </w:p>
        </w:tc>
        <w:tc>
          <w:tcPr>
            <w:tcW w:type="dxa" w:w="4819"/>
          </w:tcPr>
          <w:p>
            <w:pPr>
              <w:spacing w:before="160" w:after="60"/>
            </w:pPr>
            <w:r/>
            <w:r>
              <w:rPr>
                <w:rFonts w:ascii="Manrope" w:hAnsi="Manrope" w:eastAsia="Manrope"/>
                <w:b/>
                <w:i w:val="0"/>
                <w:color w:val="161616"/>
                <w:sz w:val="21"/>
              </w:rPr>
              <w:t>Antes de enviar, confira</w:t>
            </w:r>
          </w:p>
          <w:p>
            <w:pPr>
              <w:spacing w:after="30"/>
            </w:pPr>
            <w:r>
              <w:rPr>
                <w:rFonts w:ascii="Manrope" w:hAnsi="Manrope" w:eastAsia="Manrope"/>
                <w:b/>
                <w:i w:val="0"/>
                <w:color w:val="161616"/>
                <w:sz w:val="19"/>
              </w:rPr>
              <w:t xml:space="preserve">✓ </w:t>
            </w:r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O objetivo cabe em uma frase.</w:t>
            </w:r>
          </w:p>
          <w:p>
            <w:pPr>
              <w:spacing w:after="30"/>
            </w:pPr>
            <w:r>
              <w:rPr>
                <w:rFonts w:ascii="Manrope" w:hAnsi="Manrope" w:eastAsia="Manrope"/>
                <w:b/>
                <w:i w:val="0"/>
                <w:color w:val="161616"/>
                <w:sz w:val="19"/>
              </w:rPr>
              <w:t xml:space="preserve">✓ </w:t>
            </w:r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Há de três a seis itens para cada hora de reunião.</w:t>
            </w:r>
          </w:p>
          <w:p>
            <w:pPr>
              <w:spacing w:after="30"/>
            </w:pPr>
            <w:r>
              <w:rPr>
                <w:rFonts w:ascii="Manrope" w:hAnsi="Manrope" w:eastAsia="Manrope"/>
                <w:b/>
                <w:i w:val="0"/>
                <w:color w:val="161616"/>
                <w:sz w:val="19"/>
              </w:rPr>
              <w:t xml:space="preserve">✓ </w:t>
            </w:r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Os itens de decisão vêm primeiro.</w:t>
            </w:r>
          </w:p>
          <w:p>
            <w:pPr>
              <w:spacing w:after="30"/>
            </w:pPr>
            <w:r>
              <w:rPr>
                <w:rFonts w:ascii="Manrope" w:hAnsi="Manrope" w:eastAsia="Manrope"/>
                <w:b/>
                <w:i w:val="0"/>
                <w:color w:val="161616"/>
                <w:sz w:val="19"/>
              </w:rPr>
              <w:t xml:space="preserve">✓ </w:t>
            </w:r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Cada item tem um verbo, um responsável e um tempo.</w:t>
            </w:r>
          </w:p>
          <w:p>
            <w:pPr>
              <w:spacing w:after="30"/>
            </w:pPr>
            <w:r>
              <w:rPr>
                <w:rFonts w:ascii="Manrope" w:hAnsi="Manrope" w:eastAsia="Manrope"/>
                <w:b/>
                <w:i w:val="0"/>
                <w:color w:val="161616"/>
                <w:sz w:val="19"/>
              </w:rPr>
              <w:t xml:space="preserve">✓ </w:t>
            </w:r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A documentação prévia está anexada ou com link.</w:t>
            </w:r>
          </w:p>
          <w:p>
            <w:pPr>
              <w:spacing w:after="30"/>
            </w:pPr>
            <w:r>
              <w:rPr>
                <w:rFonts w:ascii="Manrope" w:hAnsi="Manrope" w:eastAsia="Manrope"/>
                <w:b/>
                <w:i w:val="0"/>
                <w:color w:val="161616"/>
                <w:sz w:val="19"/>
              </w:rPr>
              <w:t xml:space="preserve">✓ </w:t>
            </w:r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A pauta sai com antecedência: de 24 a 48 horas em reuniões internas; em assembleias, no prazo da lei, do contrato social, do estatuto ou da convenção.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850" w:right="1134" w:bottom="73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anrope" w:hAnsi="Manrope" w:eastAsia="Manrope"/>
        <w:b w:val="0"/>
        <w:i w:val="0"/>
        <w:color w:val="6E6E6E"/>
        <w:sz w:val="17"/>
      </w:rPr>
      <w:t>Modelo de pauta de reunião · voicit.com · O Voicit grava a reunião, transcreve e redige a ata seguindo esta pauta.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nrope" w:hAnsi="Manrope" w:eastAsia="Manrope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