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Manrope" w:hAnsi="Manrope" w:eastAsia="Manrope"/>
          <w:b/>
          <w:i w:val="0"/>
          <w:color w:val="6E6E6E"/>
          <w:sz w:val="18"/>
        </w:rPr>
        <w:t>VORLAGE FÜR DIE TAGESORDNUNG</w:t>
      </w:r>
    </w:p>
    <w:p>
      <w:pPr>
        <w:spacing w:before="0" w:after="80"/>
      </w:pPr>
      <w:r>
        <w:rPr>
          <w:rFonts w:ascii="Manrope" w:hAnsi="Manrope" w:eastAsia="Manrope"/>
          <w:b/>
          <w:i w:val="0"/>
          <w:color w:val="161616"/>
          <w:sz w:val="36"/>
        </w:rPr>
        <w:t>Tagesordnung der Besprechung</w:t>
      </w:r>
    </w:p>
    <w:p>
      <w:pPr>
        <w:spacing w:before="0" w:after="200"/>
      </w:pPr>
      <w:r>
        <w:rPr>
          <w:rFonts w:ascii="Manrope" w:hAnsi="Manrope" w:eastAsia="Manrope"/>
          <w:b w:val="0"/>
          <w:i w:val="0"/>
          <w:color w:val="6E6E6E"/>
          <w:sz w:val="20"/>
        </w:rPr>
        <w:t>Tragen Sie die Eckdaten ein, fassen Sie das Ziel in einen Satz und listen Sie die Punkte in der Reihenfolge ihrer Behandlung auf, jeweils mit Art (Information, Diskussion oder Entscheidung), Verantwortlichen und Minuten. Versenden Sie die Tagesordnung 24 bis 48 Stunden vorher, zusammen mit den Unterlagen.</w:t>
      </w:r>
    </w:p>
    <w:p>
      <w:pPr>
        <w:spacing w:before="80" w:after="120"/>
      </w:pPr>
      <w:r>
        <w:rPr>
          <w:rFonts w:ascii="Manrope" w:hAnsi="Manrope" w:eastAsia="Manrope"/>
          <w:b/>
          <w:i w:val="0"/>
          <w:color w:val="161616"/>
          <w:sz w:val="24"/>
        </w:rPr>
        <w:t>Eckdaten der Besprechung</w:t>
      </w:r>
    </w:p>
    <w:tbl>
      <w:tblPr>
        <w:tblStyle w:val="TableGrid"/>
        <w:tblW w:type="auto" w:w="0"/>
        <w:jc w:val="center"/>
        <w:tblLook w:firstColumn="1" w:firstRow="1" w:lastColumn="0" w:lastRow="0" w:noHBand="0" w:noVBand="1" w:val="04A0"/>
      </w:tblPr>
      <w:tblGrid>
        <w:gridCol w:w="4986"/>
        <w:gridCol w:w="4986"/>
      </w:tblGrid>
      <w:tr>
        <w:tc>
          <w:tcPr>
            <w:tcW w:type="dxa" w:w="2551"/>
          </w:tcPr>
          <w:p>
            <w:pPr>
              <w:spacing w:after="20"/>
            </w:pPr>
            <w:r/>
            <w:r>
              <w:rPr>
                <w:rFonts w:ascii="Manrope" w:hAnsi="Manrope" w:eastAsia="Manrope"/>
                <w:b w:val="0"/>
                <w:i w:val="0"/>
                <w:color w:val="161616"/>
                <w:sz w:val="19"/>
              </w:rPr>
              <w:t>Besprechung</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Datum und Uhrzeit</w:t>
            </w:r>
          </w:p>
        </w:tc>
        <w:tc>
          <w:tcPr>
            <w:tcW w:type="dxa" w:w="7087"/>
          </w:tcPr>
          <w:p>
            <w:pPr>
              <w:spacing w:after="20"/>
            </w:pPr>
            <w:r/>
            <w:r>
              <w:rPr>
                <w:rFonts w:ascii="Manrope" w:hAnsi="Manrope" w:eastAsia="Manrope"/>
                <w:b w:val="0"/>
                <w:i w:val="0"/>
                <w:color w:val="161616"/>
                <w:sz w:val="19"/>
              </w:rPr>
              <w:t>von ____ bis ____ Uhr</w:t>
            </w:r>
          </w:p>
        </w:tc>
      </w:tr>
      <w:tr>
        <w:tc>
          <w:tcPr>
            <w:tcW w:type="dxa" w:w="2551"/>
          </w:tcPr>
          <w:p>
            <w:pPr>
              <w:spacing w:after="20"/>
            </w:pPr>
            <w:r/>
            <w:r>
              <w:rPr>
                <w:rFonts w:ascii="Manrope" w:hAnsi="Manrope" w:eastAsia="Manrope"/>
                <w:b w:val="0"/>
                <w:i w:val="0"/>
                <w:color w:val="161616"/>
                <w:sz w:val="19"/>
              </w:rPr>
              <w:t>Ort oder Link</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Einladung durch</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Moderation</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Protokollführung</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Teilnehmende</w:t>
            </w:r>
          </w:p>
        </w:tc>
        <w:tc>
          <w:tcPr>
            <w:tcW w:type="dxa" w:w="7087"/>
          </w:tcPr>
          <w:p>
            <w:pPr>
              <w:spacing w:after="20"/>
            </w:pPr>
            <w:r/>
            <w:r>
              <w:rPr>
                <w:rFonts w:ascii="Manrope" w:hAnsi="Manrope" w:eastAsia="Manrope"/>
                <w:b w:val="0"/>
                <w:i w:val="0"/>
                <w:color w:val="161616"/>
                <w:sz w:val="19"/>
              </w:rPr>
            </w:r>
          </w:p>
        </w:tc>
      </w:tr>
    </w:tbl>
    <w:p>
      <w:pPr>
        <w:spacing w:after="40"/>
      </w:pPr>
    </w:p>
    <w:p>
      <w:pPr>
        <w:spacing w:before="280" w:after="120"/>
      </w:pPr>
      <w:r>
        <w:rPr>
          <w:rFonts w:ascii="Manrope" w:hAnsi="Manrope" w:eastAsia="Manrope"/>
          <w:b/>
          <w:i w:val="0"/>
          <w:color w:val="161616"/>
          <w:sz w:val="24"/>
        </w:rPr>
        <w:t>Ziel der Besprechung</w:t>
      </w:r>
    </w:p>
    <w:p>
      <w:pPr>
        <w:spacing w:before="0" w:after="40"/>
      </w:pPr>
      <w:r>
        <w:rPr>
          <w:rFonts w:ascii="Manrope" w:hAnsi="Manrope" w:eastAsia="Manrope"/>
          <w:b w:val="0"/>
          <w:i w:val="0"/>
          <w:color w:val="6E6E6E"/>
          <w:sz w:val="20"/>
        </w:rPr>
        <w:t>Am Ende der Besprechung muss geklärt sein:</w:t>
      </w:r>
    </w:p>
    <w:p>
      <w:pPr>
        <w:spacing w:before="0" w:after="0" w:line="440" w:lineRule="exact"/>
        <w:pBdr>
          <w:bottom w:val="single" w:sz="4" w:space="1" w:color="BDBDBD"/>
          <w:between w:val="single" w:sz="4" w:space="1" w:color="BDBDBD"/>
        </w:pBdr>
      </w:pPr>
    </w:p>
    <w:p>
      <w:pPr>
        <w:spacing w:before="0" w:after="0" w:line="440" w:lineRule="exact"/>
        <w:pBdr>
          <w:bottom w:val="single" w:sz="4" w:space="1" w:color="BDBDBD"/>
          <w:between w:val="single" w:sz="4" w:space="1" w:color="BDBDBD"/>
        </w:pBdr>
      </w:pPr>
    </w:p>
    <w:p>
      <w:pPr>
        <w:spacing w:before="280" w:after="120"/>
      </w:pPr>
      <w:r>
        <w:rPr>
          <w:rFonts w:ascii="Manrope" w:hAnsi="Manrope" w:eastAsia="Manrope"/>
          <w:b/>
          <w:i w:val="0"/>
          <w:color w:val="161616"/>
          <w:sz w:val="24"/>
        </w:rPr>
        <w:t>Tagesordnungspunkte</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680"/>
            <w:shd w:val="clear" w:color="auto" w:fill="161616"/>
          </w:tcPr>
          <w:p>
            <w:pPr>
              <w:spacing w:after="20"/>
            </w:pPr>
            <w:r/>
            <w:r>
              <w:rPr>
                <w:rFonts w:ascii="Manrope" w:hAnsi="Manrope" w:eastAsia="Manrope"/>
                <w:b/>
                <w:i w:val="0"/>
                <w:color w:val="FFFFFF"/>
                <w:sz w:val="19"/>
              </w:rPr>
              <w:t>TOP</w:t>
            </w:r>
          </w:p>
        </w:tc>
        <w:tc>
          <w:tcPr>
            <w:tcW w:type="dxa" w:w="4706"/>
            <w:shd w:val="clear" w:color="auto" w:fill="161616"/>
          </w:tcPr>
          <w:p>
            <w:pPr>
              <w:spacing w:after="20"/>
            </w:pPr>
            <w:r/>
            <w:r>
              <w:rPr>
                <w:rFonts w:ascii="Manrope" w:hAnsi="Manrope" w:eastAsia="Manrope"/>
                <w:b/>
                <w:i w:val="0"/>
                <w:color w:val="FFFFFF"/>
                <w:sz w:val="19"/>
              </w:rPr>
              <w:t>Punkt (mit Verb formuliert)</w:t>
            </w:r>
          </w:p>
        </w:tc>
        <w:tc>
          <w:tcPr>
            <w:tcW w:type="dxa" w:w="1361"/>
            <w:shd w:val="clear" w:color="auto" w:fill="161616"/>
          </w:tcPr>
          <w:p>
            <w:pPr>
              <w:spacing w:after="20"/>
            </w:pPr>
            <w:r/>
            <w:r>
              <w:rPr>
                <w:rFonts w:ascii="Manrope" w:hAnsi="Manrope" w:eastAsia="Manrope"/>
                <w:b/>
                <w:i w:val="0"/>
                <w:color w:val="FFFFFF"/>
                <w:sz w:val="19"/>
              </w:rPr>
              <w:t>Art</w:t>
            </w:r>
          </w:p>
        </w:tc>
        <w:tc>
          <w:tcPr>
            <w:tcW w:type="dxa" w:w="2041"/>
            <w:shd w:val="clear" w:color="auto" w:fill="161616"/>
          </w:tcPr>
          <w:p>
            <w:pPr>
              <w:spacing w:after="20"/>
            </w:pPr>
            <w:r/>
            <w:r>
              <w:rPr>
                <w:rFonts w:ascii="Manrope" w:hAnsi="Manrope" w:eastAsia="Manrope"/>
                <w:b/>
                <w:i w:val="0"/>
                <w:color w:val="FFFFFF"/>
                <w:sz w:val="19"/>
              </w:rPr>
              <w:t>Verantwortlich</w:t>
            </w:r>
          </w:p>
        </w:tc>
        <w:tc>
          <w:tcPr>
            <w:tcW w:type="dxa" w:w="850"/>
            <w:shd w:val="clear" w:color="auto" w:fill="161616"/>
          </w:tcPr>
          <w:p>
            <w:pPr>
              <w:spacing w:after="20"/>
            </w:pPr>
            <w:r/>
            <w:r>
              <w:rPr>
                <w:rFonts w:ascii="Manrope" w:hAnsi="Manrope" w:eastAsia="Manrope"/>
                <w:b/>
                <w:i w:val="0"/>
                <w:color w:val="FFFFFF"/>
                <w:sz w:val="19"/>
              </w:rPr>
              <w:t>Min.</w:t>
            </w:r>
          </w:p>
        </w:tc>
      </w:tr>
      <w:tr>
        <w:tc>
          <w:tcPr>
            <w:tcW w:type="dxa" w:w="680"/>
          </w:tcPr>
          <w:p>
            <w:pPr>
              <w:spacing w:after="20"/>
            </w:pPr>
            <w:r/>
            <w:r>
              <w:rPr>
                <w:rFonts w:ascii="Manrope" w:hAnsi="Manrope" w:eastAsia="Manrope"/>
                <w:b w:val="0"/>
                <w:i w:val="0"/>
                <w:color w:val="161616"/>
                <w:sz w:val="19"/>
              </w:rPr>
              <w:t>1</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2</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3</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4</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5</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6</w:t>
            </w:r>
          </w:p>
        </w:tc>
        <w:tc>
          <w:tcPr>
            <w:tcW w:type="dxa" w:w="4706"/>
          </w:tcPr>
          <w:p>
            <w:pPr>
              <w:spacing w:after="20"/>
            </w:pPr>
            <w:r/>
            <w:r>
              <w:rPr>
                <w:rFonts w:ascii="Manrope" w:hAnsi="Manrope" w:eastAsia="Manrope"/>
                <w:b w:val="0"/>
                <w:i w:val="0"/>
                <w:color w:val="161616"/>
                <w:sz w:val="19"/>
              </w:rPr>
              <w:t>Verschiedenes und Beschlüsse zusammenfassen</w:t>
            </w:r>
          </w:p>
        </w:tc>
        <w:tc>
          <w:tcPr>
            <w:tcW w:type="dxa" w:w="1361"/>
          </w:tcPr>
          <w:p>
            <w:pPr>
              <w:spacing w:after="20"/>
            </w:pPr>
            <w:r/>
            <w:r>
              <w:rPr>
                <w:rFonts w:ascii="Manrope" w:hAnsi="Manrope" w:eastAsia="Manrope"/>
                <w:b w:val="0"/>
                <w:i w:val="0"/>
                <w:color w:val="161616"/>
                <w:sz w:val="19"/>
              </w:rPr>
              <w:t>Abschluss</w:t>
            </w:r>
          </w:p>
        </w:tc>
        <w:tc>
          <w:tcPr>
            <w:tcW w:type="dxa" w:w="2041"/>
          </w:tcPr>
          <w:p>
            <w:pPr>
              <w:spacing w:after="20"/>
            </w:pPr>
            <w:r/>
            <w:r>
              <w:rPr>
                <w:rFonts w:ascii="Manrope" w:hAnsi="Manrope" w:eastAsia="Manrope"/>
                <w:b w:val="0"/>
                <w:i w:val="0"/>
                <w:color w:val="161616"/>
                <w:sz w:val="19"/>
              </w:rPr>
              <w:t>Moderation</w:t>
            </w:r>
          </w:p>
        </w:tc>
        <w:tc>
          <w:tcPr>
            <w:tcW w:type="dxa" w:w="850"/>
          </w:tcPr>
          <w:p>
            <w:pPr>
              <w:spacing w:after="20"/>
            </w:pPr>
            <w:r/>
            <w:r>
              <w:rPr>
                <w:rFonts w:ascii="Manrope" w:hAnsi="Manrope" w:eastAsia="Manrope"/>
                <w:b w:val="0"/>
                <w:i w:val="0"/>
                <w:color w:val="161616"/>
                <w:sz w:val="19"/>
              </w:rPr>
              <w:t>5</w:t>
            </w:r>
          </w:p>
        </w:tc>
      </w:tr>
    </w:tbl>
    <w:p>
      <w:pPr>
        <w:spacing w:after="40"/>
      </w:pPr>
    </w:p>
    <w:p>
      <w:pPr>
        <w:spacing w:before="0" w:after="80"/>
      </w:pPr>
      <w:r>
        <w:rPr>
          <w:rFonts w:ascii="Manrope" w:hAnsi="Manrope" w:eastAsia="Manrope"/>
          <w:b w:val="0"/>
          <w:i w:val="0"/>
          <w:color w:val="6E6E6E"/>
          <w:sz w:val="18"/>
        </w:rPr>
        <w:t>Art: Information, Diskussion oder Entscheidung. Entscheidungen zuerst.</w:t>
      </w:r>
    </w:p>
    <w:p>
      <w:pPr>
        <w:spacing w:before="80" w:after="80"/>
      </w:pPr>
      <w:r>
        <w:rPr>
          <w:rFonts w:ascii="Manrope" w:hAnsi="Manrope" w:eastAsia="Manrope"/>
          <w:b/>
          <w:i w:val="0"/>
          <w:color w:val="161616"/>
          <w:sz w:val="20"/>
        </w:rPr>
        <w:t>Geplante Dauer (Summe der Minuten plus 5 bis 10 Minuten Puffer): ______ Minuten</w:t>
      </w:r>
    </w:p>
    <w:p>
      <w:pPr>
        <w:spacing w:before="240" w:after="120"/>
      </w:pPr>
      <w:r>
        <w:rPr>
          <w:rFonts w:ascii="Manrope" w:hAnsi="Manrope" w:eastAsia="Manrope"/>
          <w:b/>
          <w:i w:val="0"/>
          <w:color w:val="161616"/>
          <w:sz w:val="24"/>
        </w:rPr>
        <w:t>Unterlagen vorab</w:t>
      </w:r>
    </w:p>
    <w:p>
      <w:pPr>
        <w:spacing w:before="0" w:after="40"/>
      </w:pPr>
      <w:r>
        <w:rPr>
          <w:rFonts w:ascii="Manrope" w:hAnsi="Manrope" w:eastAsia="Manrope"/>
          <w:b w:val="0"/>
          <w:i w:val="0"/>
          <w:color w:val="6E6E6E"/>
          <w:sz w:val="20"/>
        </w:rPr>
        <w:t>Was vorab zu lesen ist und wo es liegt:</w:t>
      </w:r>
    </w:p>
    <w:p>
      <w:pPr>
        <w:spacing w:before="0" w:after="0" w:line="440" w:lineRule="exact"/>
        <w:pBdr>
          <w:bottom w:val="single" w:sz="4" w:space="1" w:color="BDBDBD"/>
          <w:between w:val="single" w:sz="4" w:space="1" w:color="BDBDBD"/>
        </w:pBdr>
      </w:pPr>
    </w:p>
    <w:p>
      <w:pPr>
        <w:spacing w:before="0" w:after="0" w:line="440" w:lineRule="exact"/>
        <w:pBdr>
          <w:bottom w:val="single" w:sz="4" w:space="1" w:color="BDBDBD"/>
          <w:between w:val="single" w:sz="4" w:space="1" w:color="BDBDBD"/>
        </w:pBdr>
      </w:pPr>
    </w:p>
    <w:p>
      <w:r>
        <w:br w:type="page"/>
      </w:r>
    </w:p>
    <w:p>
      <w:pPr>
        <w:spacing w:before="0" w:after="120"/>
      </w:pPr>
      <w:r>
        <w:rPr>
          <w:rFonts w:ascii="Manrope" w:hAnsi="Manrope" w:eastAsia="Manrope"/>
          <w:b/>
          <w:i w:val="0"/>
          <w:color w:val="161616"/>
          <w:sz w:val="28"/>
        </w:rPr>
        <w:t>Beispiele für Tagesordnungen nach Besprechungsart</w:t>
      </w:r>
    </w:p>
    <w:p>
      <w:pPr>
        <w:spacing w:before="0" w:after="80"/>
      </w:pPr>
      <w:r>
        <w:rPr>
          <w:rFonts w:ascii="Manrope" w:hAnsi="Manrope" w:eastAsia="Manrope"/>
          <w:b w:val="0"/>
          <w:i w:val="0"/>
          <w:color w:val="6E6E6E"/>
          <w:sz w:val="20"/>
        </w:rPr>
        <w:t>Übernehmen Sie das Beispiel, das Ihrer Besprechung am nächsten kommt, und passen Sie die Punkte an.</w:t>
      </w:r>
    </w:p>
    <w:tbl>
      <w:tblPr>
        <w:tblW w:type="auto" w:w="0"/>
        <w:jc w:val="center"/>
        <w:tblLook w:firstColumn="1" w:firstRow="1" w:lastColumn="0" w:lastRow="0" w:noHBand="0" w:noVBand="1" w:val="04A0"/>
      </w:tblPr>
      <w:tblGrid>
        <w:gridCol w:w="4986"/>
        <w:gridCol w:w="4986"/>
      </w:tblGrid>
      <w:tr>
        <w:tc>
          <w:tcPr>
            <w:tcW w:type="dxa" w:w="4819"/>
          </w:tcPr>
          <w:p>
            <w:pPr>
              <w:spacing w:before="160" w:after="60"/>
            </w:pPr>
            <w:r/>
            <w:r>
              <w:rPr>
                <w:rFonts w:ascii="Manrope" w:hAnsi="Manrope" w:eastAsia="Manrope"/>
                <w:b/>
                <w:i w:val="0"/>
                <w:color w:val="161616"/>
                <w:sz w:val="21"/>
              </w:rPr>
              <w:t>Wöchentlicher Jour fixe im Team (30 Minuten)</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Aufgaben der Vorwoche: was erledigt ist und was nicht (5 Min.).</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Prioritäten dieser Woche, pro Person (10 Min.).</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Blocker und wer hilft, sie zu lösen (10 Min.).</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Hinweise und Verschiedenes (5 Min.).</w:t>
            </w:r>
          </w:p>
        </w:tc>
        <w:tc>
          <w:tcPr>
            <w:tcW w:type="dxa" w:w="4819"/>
          </w:tcPr>
          <w:p>
            <w:pPr>
              <w:spacing w:before="160" w:after="60"/>
            </w:pPr>
            <w:r/>
            <w:r>
              <w:rPr>
                <w:rFonts w:ascii="Manrope" w:hAnsi="Manrope" w:eastAsia="Manrope"/>
                <w:b/>
                <w:i w:val="0"/>
                <w:color w:val="161616"/>
                <w:sz w:val="21"/>
              </w:rPr>
              <w:t>Geschäftsleitungssitzung (90 Minuten)</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Genehmigung des Protokolls der letzten Sitzung.</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Kennzahlen des Monats: Umsatz, Liquidität, Personal und Kunden.</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Offene Entscheidungen, mit vorab verschickter Beschlussvorlage.</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Risiken und Stand der strategischen Projekte.</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Verschiedenes.</w:t>
            </w:r>
          </w:p>
        </w:tc>
      </w:tr>
      <w:tr>
        <w:tc>
          <w:tcPr>
            <w:tcW w:type="dxa" w:w="4819"/>
          </w:tcPr>
          <w:p>
            <w:pPr>
              <w:spacing w:before="160" w:after="60"/>
            </w:pPr>
            <w:r/>
            <w:r>
              <w:rPr>
                <w:rFonts w:ascii="Manrope" w:hAnsi="Manrope" w:eastAsia="Manrope"/>
                <w:b/>
                <w:i w:val="0"/>
                <w:color w:val="161616"/>
                <w:sz w:val="21"/>
              </w:rPr>
              <w:t>Kundentermin (45 Minuten)</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Ziel des Termins und kurze Vorstellungsrunde.</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Stand des Projekts oder der Leistung seit dem letzten Termin.</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Themen, die der Kunde einbringt.</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Änderungen bei Umfang, Terminen oder Budget, falls es welche gibt.</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Nächste Schritte und Verantwortliche auf beiden Seiten.</w:t>
            </w:r>
          </w:p>
        </w:tc>
        <w:tc>
          <w:tcPr>
            <w:tcW w:type="dxa" w:w="4819"/>
          </w:tcPr>
          <w:p>
            <w:pPr>
              <w:spacing w:before="160" w:after="60"/>
            </w:pPr>
            <w:r/>
            <w:r>
              <w:rPr>
                <w:rFonts w:ascii="Manrope" w:hAnsi="Manrope" w:eastAsia="Manrope"/>
                <w:b/>
                <w:i w:val="0"/>
                <w:color w:val="161616"/>
                <w:sz w:val="21"/>
              </w:rPr>
              <w:t>Kick-off-Meeting für ein Projekt (60 Minuten)</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Hintergrund und Ziel des Projekts.</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Umfang: was dazugehört und was nicht.</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Team, Rollen und Kommunikationswege.</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Zeitplan und wichtigste Meilensteine.</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Bekannte Risiken und wie sie überwacht werden.</w:t>
            </w:r>
          </w:p>
          <w:p>
            <w:pPr>
              <w:spacing w:after="30"/>
            </w:pPr>
            <w:r>
              <w:rPr>
                <w:rFonts w:ascii="Manrope" w:hAnsi="Manrope" w:eastAsia="Manrope"/>
                <w:b/>
                <w:i w:val="0"/>
                <w:color w:val="161616"/>
                <w:sz w:val="19"/>
              </w:rPr>
              <w:t xml:space="preserve">6. </w:t>
            </w:r>
            <w:r>
              <w:rPr>
                <w:rFonts w:ascii="Manrope" w:hAnsi="Manrope" w:eastAsia="Manrope"/>
                <w:b w:val="0"/>
                <w:i w:val="0"/>
                <w:color w:val="161616"/>
                <w:sz w:val="19"/>
              </w:rPr>
              <w:t>Nächste Schritte und Termin der nächsten Besprechung.</w:t>
            </w:r>
          </w:p>
        </w:tc>
      </w:tr>
      <w:tr>
        <w:tc>
          <w:tcPr>
            <w:tcW w:type="dxa" w:w="4819"/>
          </w:tcPr>
          <w:p>
            <w:pPr>
              <w:spacing w:before="160" w:after="60"/>
            </w:pPr>
            <w:r/>
            <w:r>
              <w:rPr>
                <w:rFonts w:ascii="Manrope" w:hAnsi="Manrope" w:eastAsia="Manrope"/>
                <w:b/>
                <w:i w:val="0"/>
                <w:color w:val="161616"/>
                <w:sz w:val="21"/>
              </w:rPr>
              <w:t>Gesellschafter-, Mitglieder- oder Eigentümerversammlung</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Eröffnung, Anwesenheit und Vollmachten, Feststellung der Beschlussfähigkeit.</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Gegebenenfalls Genehmigung des Protokolls der letzten Versammlung.</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Bericht und Beschluss über den Jahresabschluss.</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Jeder Gegenstand, über den abgestimmt wird, als eigener Tagesordnungspunkt.</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Verschiedenes.</w:t>
            </w:r>
          </w:p>
        </w:tc>
        <w:tc>
          <w:tcPr>
            <w:tcW w:type="dxa" w:w="4819"/>
          </w:tcPr>
          <w:p>
            <w:pPr>
              <w:spacing w:before="160" w:after="60"/>
            </w:pPr>
            <w:r/>
            <w:r>
              <w:rPr>
                <w:rFonts w:ascii="Manrope" w:hAnsi="Manrope" w:eastAsia="Manrope"/>
                <w:b/>
                <w:i w:val="0"/>
                <w:color w:val="161616"/>
                <w:sz w:val="21"/>
              </w:rPr>
              <w:t>Vor dem Versand prüfen</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Das Ziel passt in einen Satz.</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Pro Stunde Besprechung gibt es drei bis sechs Punkte.</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Entscheidungspunkte stehen am Anfang.</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Jeder Punkt hat ein Verb, eine verantwortliche Person und eine Zeit.</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Die Unterlagen sind beigefügt oder verlinkt.</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Rechtzeitig verschickt: 24 bis 48 Stunden vorher bei internen Besprechungen; bei Versammlungen gilt die Frist aus Gesetz, Gesellschaftsvertrag oder Satzung.</w:t>
            </w:r>
          </w:p>
        </w:tc>
      </w:tr>
    </w:tbl>
    <w:sectPr w:rsidR="00FC693F" w:rsidRPr="0006063C" w:rsidSect="00034616">
      <w:footerReference w:type="default" r:id="rId9"/>
      <w:pgSz w:w="12240" w:h="15840"/>
      <w:pgMar w:top="850" w:right="1134" w:bottom="73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anrope" w:hAnsi="Manrope" w:eastAsia="Manrope"/>
        <w:b w:val="0"/>
        <w:i w:val="0"/>
        <w:color w:val="6E6E6E"/>
        <w:sz w:val="17"/>
      </w:rPr>
      <w:t>Vorlage für die Tagesordnung · voicit.com · Voicit nimmt die Besprechung auf, transkribiert sie und schreibt das Protokoll nach dieser Tagesordnung.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eastAsia="Manrop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